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47" w:rsidRDefault="00E02D9C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5x0d5h95i329" w:colFirst="0" w:colLast="0"/>
      <w:bookmarkEnd w:id="0"/>
      <w:r>
        <w:t>Ministry Proficiency Categories</w:t>
      </w:r>
    </w:p>
    <w:p w:rsidR="00566847" w:rsidRDefault="0056684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p w:rsidR="00566847" w:rsidRDefault="0056684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tbl>
      <w:tblPr>
        <w:tblStyle w:val="a"/>
        <w:tblW w:w="12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1"/>
        <w:gridCol w:w="2963"/>
        <w:gridCol w:w="2962"/>
        <w:gridCol w:w="2962"/>
        <w:gridCol w:w="2962"/>
      </w:tblGrid>
      <w:tr w:rsidR="00566847">
        <w:trPr>
          <w:trHeight w:val="420"/>
          <w:jc w:val="center"/>
        </w:trPr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6847" w:rsidRDefault="00E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  <w:color w:val="666666"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590550" cy="4445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34F36" id="Rectangle 1" o:spid="_x0000_s1026" style="width:46.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" filled="f" stroked="f">
                      <w10:anchorlock/>
                    </v:rect>
                  </w:pict>
                </mc:Fallback>
              </mc:AlternateContent>
            </w:r>
            <w:r>
              <w:rPr>
                <w:color w:val="666666"/>
              </w:rPr>
              <w:t xml:space="preserve">  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</w:p>
          <w:p w:rsidR="00566847" w:rsidRDefault="00E02D9C">
            <w:pPr>
              <w:widowControl w:val="0"/>
              <w:spacing w:before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</w:p>
          <w:p w:rsidR="00566847" w:rsidRDefault="00E02D9C">
            <w:pPr>
              <w:widowControl w:val="0"/>
              <w:spacing w:before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  <w:p w:rsidR="00566847" w:rsidRDefault="00E02D9C">
            <w:pPr>
              <w:widowControl w:val="0"/>
              <w:spacing w:before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</w:p>
          <w:p w:rsidR="00566847" w:rsidRDefault="00E02D9C">
            <w:pPr>
              <w:widowControl w:val="0"/>
              <w:spacing w:before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  <w:p w:rsidR="00566847" w:rsidRDefault="00E02D9C">
            <w:pPr>
              <w:widowControl w:val="0"/>
              <w:spacing w:before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</w:p>
          <w:p w:rsidR="00566847" w:rsidRDefault="00E02D9C">
            <w:pPr>
              <w:widowControl w:val="0"/>
              <w:spacing w:before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  <w:p w:rsidR="00566847" w:rsidRDefault="00E02D9C">
            <w:pPr>
              <w:widowControl w:val="0"/>
              <w:spacing w:before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  <w:p w:rsidR="00566847" w:rsidRDefault="00E02D9C">
            <w:pPr>
              <w:widowControl w:val="0"/>
              <w:spacing w:before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</w:p>
          <w:p w:rsidR="00566847" w:rsidRDefault="00E02D9C">
            <w:pPr>
              <w:widowControl w:val="0"/>
              <w:spacing w:before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</w:p>
          <w:p w:rsidR="00566847" w:rsidRDefault="00E02D9C">
            <w:pPr>
              <w:widowControl w:val="0"/>
              <w:spacing w:before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</w:p>
          <w:p w:rsidR="00566847" w:rsidRDefault="00566847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566847" w:rsidRDefault="0056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</w:rPr>
            </w:pP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  <w:sz w:val="40"/>
                <w:szCs w:val="40"/>
              </w:rPr>
            </w:pPr>
            <w:r>
              <w:rPr>
                <w:color w:val="666666"/>
                <w:sz w:val="40"/>
                <w:szCs w:val="40"/>
              </w:rPr>
              <w:t>Emerging (1)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  <w:sz w:val="40"/>
                <w:szCs w:val="40"/>
              </w:rPr>
            </w:pPr>
            <w:r>
              <w:rPr>
                <w:color w:val="666666"/>
                <w:sz w:val="40"/>
                <w:szCs w:val="40"/>
              </w:rPr>
              <w:t>Developing (2)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  <w:sz w:val="40"/>
                <w:szCs w:val="40"/>
              </w:rPr>
            </w:pPr>
            <w:r>
              <w:rPr>
                <w:color w:val="666666"/>
                <w:sz w:val="40"/>
                <w:szCs w:val="40"/>
              </w:rPr>
              <w:t>Proficient (3)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  <w:sz w:val="40"/>
                <w:szCs w:val="40"/>
              </w:rPr>
            </w:pPr>
            <w:r>
              <w:rPr>
                <w:color w:val="666666"/>
                <w:sz w:val="40"/>
                <w:szCs w:val="40"/>
              </w:rPr>
              <w:t>Extending (4)</w:t>
            </w:r>
          </w:p>
        </w:tc>
      </w:tr>
      <w:tr w:rsidR="00566847">
        <w:trPr>
          <w:trHeight w:val="420"/>
          <w:jc w:val="center"/>
        </w:trPr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6847" w:rsidRDefault="0056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</w:rPr>
            </w:pP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The student demonstrates an initial understanding of the concepts and competencies relevant to the expected learning.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The student demonstrates a partial understanding of the concepts and competencies relevant to the expected learning.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The student demonstrates a complete understanding of the concepts and competencies relevant to the expected learning.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The student demonstra</w:t>
            </w:r>
            <w:r>
              <w:rPr>
                <w:color w:val="666666"/>
                <w:sz w:val="28"/>
                <w:szCs w:val="28"/>
              </w:rPr>
              <w:t xml:space="preserve">tes a sophisticated understanding of the concepts and competencies relevant to the expected learning. </w:t>
            </w:r>
          </w:p>
        </w:tc>
      </w:tr>
      <w:tr w:rsidR="00566847">
        <w:trPr>
          <w:trHeight w:val="420"/>
          <w:jc w:val="center"/>
        </w:trPr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6847" w:rsidRDefault="005668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</w:rPr>
            </w:pP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 xml:space="preserve">A student with emerging skill is in the beginning of their journey for this skill.  They have minimal understanding of the concept being taught and require </w:t>
            </w:r>
            <w:proofErr w:type="spellStart"/>
            <w:r>
              <w:rPr>
                <w:color w:val="666666"/>
                <w:sz w:val="28"/>
                <w:szCs w:val="28"/>
              </w:rPr>
              <w:t>reteaching</w:t>
            </w:r>
            <w:proofErr w:type="spellEnd"/>
            <w:r>
              <w:rPr>
                <w:color w:val="666666"/>
                <w:sz w:val="28"/>
                <w:szCs w:val="28"/>
              </w:rPr>
              <w:t xml:space="preserve"> and additional opportunities to practice.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The student has some knowledge and skill.  Ther</w:t>
            </w:r>
            <w:r>
              <w:rPr>
                <w:color w:val="666666"/>
                <w:sz w:val="28"/>
                <w:szCs w:val="28"/>
              </w:rPr>
              <w:t>e is a clear pattern to their mistakes.  They need coaching to correct misunderstandings and additional practice.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At this level, the student is able to demonstrate this skill consistently and accurately.  Mistakes are minor and easily addressed in quick co</w:t>
            </w:r>
            <w:r>
              <w:rPr>
                <w:color w:val="666666"/>
                <w:sz w:val="28"/>
                <w:szCs w:val="28"/>
              </w:rPr>
              <w:t>nferences.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 xml:space="preserve">This student is able to demonstrate deep understanding of work produced independently. This student is ready for new challenges to extend their thinking.  </w:t>
            </w:r>
          </w:p>
        </w:tc>
      </w:tr>
    </w:tbl>
    <w:p w:rsidR="00566847" w:rsidRDefault="00566847">
      <w:pPr>
        <w:pBdr>
          <w:top w:val="nil"/>
          <w:left w:val="nil"/>
          <w:bottom w:val="nil"/>
          <w:right w:val="nil"/>
          <w:between w:val="nil"/>
        </w:pBdr>
      </w:pPr>
    </w:p>
    <w:p w:rsidR="00566847" w:rsidRDefault="00566847">
      <w:pPr>
        <w:pBdr>
          <w:top w:val="nil"/>
          <w:left w:val="nil"/>
          <w:bottom w:val="nil"/>
          <w:right w:val="nil"/>
          <w:between w:val="nil"/>
        </w:pBdr>
      </w:pPr>
    </w:p>
    <w:p w:rsidR="00566847" w:rsidRDefault="00566847">
      <w:pPr>
        <w:pBdr>
          <w:top w:val="nil"/>
          <w:left w:val="nil"/>
          <w:bottom w:val="nil"/>
          <w:right w:val="nil"/>
          <w:between w:val="nil"/>
        </w:pBdr>
      </w:pPr>
      <w:bookmarkStart w:id="1" w:name="_vgwj4pgek3tu" w:colFirst="0" w:colLast="0"/>
      <w:bookmarkStart w:id="2" w:name="_GoBack"/>
      <w:bookmarkEnd w:id="1"/>
      <w:bookmarkEnd w:id="2"/>
    </w:p>
    <w:p w:rsidR="00566847" w:rsidRDefault="00566847">
      <w:pPr>
        <w:spacing w:before="0" w:line="240" w:lineRule="auto"/>
        <w:rPr>
          <w:color w:val="666666"/>
        </w:rPr>
      </w:pPr>
    </w:p>
    <w:tbl>
      <w:tblPr>
        <w:tblStyle w:val="a0"/>
        <w:tblW w:w="129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6"/>
        <w:gridCol w:w="5447"/>
        <w:gridCol w:w="5447"/>
      </w:tblGrid>
      <w:tr w:rsidR="00566847">
        <w:trPr>
          <w:trHeight w:val="420"/>
          <w:jc w:val="center"/>
        </w:trPr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6847" w:rsidRDefault="00E02D9C">
            <w:pPr>
              <w:widowControl w:val="0"/>
              <w:spacing w:before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  <w:color w:val="666666"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590550" cy="44450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2C53E2" id="Rectangle 2" o:spid="_x0000_s1026" style="width:46.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" filled="f" stroked="f">
                      <w10:anchorlock/>
                    </v:rect>
                  </w:pict>
                </mc:Fallback>
              </mc:AlternateContent>
            </w:r>
            <w:r>
              <w:rPr>
                <w:color w:val="666666"/>
              </w:rPr>
              <w:t xml:space="preserve"> 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</w:p>
          <w:p w:rsidR="00566847" w:rsidRDefault="00566847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566847" w:rsidRDefault="00566847">
            <w:pPr>
              <w:widowControl w:val="0"/>
              <w:spacing w:before="0" w:line="240" w:lineRule="auto"/>
              <w:rPr>
                <w:color w:val="666666"/>
              </w:rPr>
            </w:pP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spacing w:before="0" w:line="240" w:lineRule="auto"/>
              <w:rPr>
                <w:color w:val="666666"/>
                <w:sz w:val="40"/>
                <w:szCs w:val="40"/>
              </w:rPr>
            </w:pPr>
            <w:r>
              <w:rPr>
                <w:color w:val="666666"/>
                <w:sz w:val="40"/>
                <w:szCs w:val="40"/>
              </w:rPr>
              <w:t>Insufficient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spacing w:before="0" w:line="240" w:lineRule="auto"/>
              <w:rPr>
                <w:color w:val="666666"/>
                <w:sz w:val="40"/>
                <w:szCs w:val="40"/>
              </w:rPr>
            </w:pPr>
            <w:r>
              <w:rPr>
                <w:color w:val="666666"/>
                <w:sz w:val="40"/>
                <w:szCs w:val="40"/>
              </w:rPr>
              <w:t>Incomplete</w:t>
            </w:r>
          </w:p>
        </w:tc>
      </w:tr>
      <w:tr w:rsidR="00566847">
        <w:trPr>
          <w:trHeight w:val="420"/>
          <w:jc w:val="center"/>
        </w:trPr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6847" w:rsidRDefault="00566847">
            <w:pPr>
              <w:widowControl w:val="0"/>
              <w:spacing w:before="0" w:line="240" w:lineRule="auto"/>
              <w:rPr>
                <w:color w:val="666666"/>
              </w:rPr>
            </w:pP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spacing w:before="0" w:line="24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The student demonstrates little or no understanding of the concepts and competencies relevant to the expected learning.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spacing w:before="0" w:line="24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The student is missing several formative and summative learning tasks to adequately assess understanding of the concepts and competencie</w:t>
            </w:r>
            <w:r>
              <w:rPr>
                <w:color w:val="666666"/>
                <w:sz w:val="28"/>
                <w:szCs w:val="28"/>
              </w:rPr>
              <w:t>s relevant to the expected learning.</w:t>
            </w:r>
          </w:p>
        </w:tc>
      </w:tr>
      <w:tr w:rsidR="00566847">
        <w:trPr>
          <w:trHeight w:val="420"/>
          <w:jc w:val="center"/>
        </w:trPr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6847" w:rsidRDefault="00566847">
            <w:pPr>
              <w:widowControl w:val="0"/>
              <w:spacing w:before="0" w:line="240" w:lineRule="auto"/>
              <w:rPr>
                <w:color w:val="666666"/>
              </w:rPr>
            </w:pP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spacing w:before="0" w:line="24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A student with insufficient skill has minimal or no understanding of the concept being taught despite support and opportunities to practice.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847" w:rsidRDefault="00E02D9C">
            <w:pPr>
              <w:widowControl w:val="0"/>
              <w:spacing w:before="0" w:line="240" w:lineRule="auto"/>
              <w:rPr>
                <w:color w:val="666666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The student has some knowledge and skill.  However, mark is incomplete because of several key pieces of assessment.</w:t>
            </w:r>
          </w:p>
        </w:tc>
      </w:tr>
    </w:tbl>
    <w:p w:rsidR="00566847" w:rsidRDefault="00566847"/>
    <w:sectPr w:rsidR="00566847">
      <w:headerReference w:type="default" r:id="rId6"/>
      <w:pgSz w:w="15840" w:h="12240"/>
      <w:pgMar w:top="720" w:right="1353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2D9C">
      <w:pPr>
        <w:spacing w:before="0" w:line="240" w:lineRule="auto"/>
      </w:pPr>
      <w:r>
        <w:separator/>
      </w:r>
    </w:p>
  </w:endnote>
  <w:endnote w:type="continuationSeparator" w:id="0">
    <w:p w:rsidR="00000000" w:rsidRDefault="00E02D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2D9C">
      <w:pPr>
        <w:spacing w:before="0" w:line="240" w:lineRule="auto"/>
      </w:pPr>
      <w:r>
        <w:separator/>
      </w:r>
    </w:p>
  </w:footnote>
  <w:footnote w:type="continuationSeparator" w:id="0">
    <w:p w:rsidR="00000000" w:rsidRDefault="00E02D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47" w:rsidRDefault="00566847">
    <w:pPr>
      <w:pBdr>
        <w:top w:val="nil"/>
        <w:left w:val="nil"/>
        <w:bottom w:val="nil"/>
        <w:right w:val="nil"/>
        <w:between w:val="nil"/>
      </w:pBdr>
      <w:spacing w:before="400"/>
    </w:pPr>
  </w:p>
  <w:p w:rsidR="00566847" w:rsidRDefault="00E02D9C">
    <w:pPr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noProof/>
        <w:lang w:val="en-US"/>
      </w:rPr>
      <w:drawing>
        <wp:inline distT="114300" distB="114300" distL="114300" distR="114300">
          <wp:extent cx="5943600" cy="63500"/>
          <wp:effectExtent l="0" t="0" r="0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47"/>
    <w:rsid w:val="00566847"/>
    <w:rsid w:val="00E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91FB2-E995-4B88-A6F6-5124D42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before="0" w:line="240" w:lineRule="auto"/>
    </w:pPr>
    <w:rPr>
      <w:color w:val="00AB44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B221CA51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Di Donato</dc:creator>
  <cp:lastModifiedBy>Maurizio Di Donato</cp:lastModifiedBy>
  <cp:revision>2</cp:revision>
  <dcterms:created xsi:type="dcterms:W3CDTF">2018-10-25T17:09:00Z</dcterms:created>
  <dcterms:modified xsi:type="dcterms:W3CDTF">2018-10-25T17:09:00Z</dcterms:modified>
</cp:coreProperties>
</file>